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D514" w14:textId="77777777" w:rsidR="00402D78" w:rsidRDefault="00402D78" w:rsidP="00402D78">
      <w:pPr>
        <w:spacing w:after="0"/>
        <w:rPr>
          <w:sz w:val="28"/>
          <w:szCs w:val="28"/>
        </w:rPr>
      </w:pPr>
      <w:r w:rsidRPr="00916F83">
        <w:rPr>
          <w:sz w:val="28"/>
          <w:szCs w:val="28"/>
        </w:rPr>
        <w:t xml:space="preserve">Place-based Ecology Education Resources for </w:t>
      </w:r>
      <w:r>
        <w:rPr>
          <w:sz w:val="28"/>
          <w:szCs w:val="28"/>
        </w:rPr>
        <w:t>6-8</w:t>
      </w:r>
    </w:p>
    <w:p w14:paraId="54554EDC" w14:textId="77777777" w:rsidR="00402D78" w:rsidRDefault="00402D78" w:rsidP="00402D78">
      <w:pPr>
        <w:spacing w:after="0"/>
        <w:rPr>
          <w:sz w:val="28"/>
          <w:szCs w:val="28"/>
        </w:rPr>
      </w:pPr>
    </w:p>
    <w:p w14:paraId="67BF2BA8" w14:textId="77777777" w:rsidR="00402D78" w:rsidRDefault="005338B2" w:rsidP="00402D78">
      <w:pPr>
        <w:spacing w:after="0"/>
        <w:rPr>
          <w:sz w:val="24"/>
          <w:szCs w:val="24"/>
        </w:rPr>
      </w:pPr>
      <w:hyperlink r:id="rId4" w:anchor="start=3" w:history="1">
        <w:r w:rsidR="00402D78" w:rsidRPr="0006686A">
          <w:rPr>
            <w:rStyle w:val="Hyperlink"/>
            <w:b/>
            <w:bCs/>
            <w:color w:val="0000FF"/>
            <w:sz w:val="24"/>
            <w:szCs w:val="24"/>
          </w:rPr>
          <w:t>The Choice, Control &amp; Change</w:t>
        </w:r>
      </w:hyperlink>
      <w:r w:rsidR="00402D78" w:rsidRPr="0006686A">
        <w:rPr>
          <w:sz w:val="24"/>
          <w:szCs w:val="24"/>
        </w:rPr>
        <w:t>: Using Science to Make Food and Activity Decisions learning module investigates the link between diet and physical activity to learn how the human body works. Students engage in hands-on investigations of food preferences and environment, energy intake and expenditure, and lifestyle-related diseases — as well as analyze their overall health using scientific reasoning. Part 3 of the Linking Food and the Environment (</w:t>
      </w:r>
      <w:proofErr w:type="spellStart"/>
      <w:r w:rsidR="00402D78" w:rsidRPr="0006686A">
        <w:rPr>
          <w:sz w:val="24"/>
          <w:szCs w:val="24"/>
        </w:rPr>
        <w:t>LiFE</w:t>
      </w:r>
      <w:proofErr w:type="spellEnd"/>
      <w:r w:rsidR="00402D78" w:rsidRPr="0006686A">
        <w:rPr>
          <w:sz w:val="24"/>
          <w:szCs w:val="24"/>
        </w:rPr>
        <w:t>) Curriculum Series.</w:t>
      </w:r>
    </w:p>
    <w:p w14:paraId="2BFAAECA" w14:textId="77777777" w:rsidR="00402D78" w:rsidRPr="00916F83" w:rsidRDefault="00402D78" w:rsidP="00402D78">
      <w:pPr>
        <w:spacing w:after="0"/>
        <w:rPr>
          <w:sz w:val="28"/>
          <w:szCs w:val="28"/>
        </w:rPr>
      </w:pPr>
    </w:p>
    <w:p w14:paraId="4B103E4B" w14:textId="77777777" w:rsidR="00402D78" w:rsidRPr="00063BE2" w:rsidRDefault="005338B2" w:rsidP="00402D78">
      <w:pPr>
        <w:spacing w:after="0"/>
        <w:rPr>
          <w:b/>
          <w:bCs/>
          <w:color w:val="0000FF"/>
          <w:sz w:val="24"/>
          <w:szCs w:val="24"/>
        </w:rPr>
      </w:pPr>
      <w:hyperlink r:id="rId5" w:anchor="start=5" w:history="1">
        <w:r w:rsidR="00402D78" w:rsidRPr="00063BE2">
          <w:rPr>
            <w:rStyle w:val="Hyperlink"/>
            <w:b/>
            <w:bCs/>
            <w:color w:val="0000FF"/>
            <w:sz w:val="24"/>
            <w:szCs w:val="24"/>
          </w:rPr>
          <w:t>Growing Food</w:t>
        </w:r>
      </w:hyperlink>
    </w:p>
    <w:p w14:paraId="4932A4F4" w14:textId="77777777" w:rsidR="00402D78" w:rsidRDefault="00402D78" w:rsidP="00402D78">
      <w:pPr>
        <w:spacing w:after="0"/>
        <w:rPr>
          <w:sz w:val="24"/>
          <w:szCs w:val="24"/>
        </w:rPr>
      </w:pPr>
      <w:r w:rsidRPr="00063BE2">
        <w:rPr>
          <w:sz w:val="24"/>
          <w:szCs w:val="24"/>
        </w:rPr>
        <w:t>In this inquiry-based curriculum, students learn science by studying our food production system. Hands-on activities focus on cycles of nature. Includes a matrix of National Science Education Standards and Benchmarks for Science Literacy. Part 1 of the Linking Food and the Environment (</w:t>
      </w:r>
      <w:proofErr w:type="spellStart"/>
      <w:r w:rsidRPr="00063BE2">
        <w:rPr>
          <w:sz w:val="24"/>
          <w:szCs w:val="24"/>
        </w:rPr>
        <w:t>LiFE</w:t>
      </w:r>
      <w:proofErr w:type="spellEnd"/>
      <w:r w:rsidRPr="00063BE2">
        <w:rPr>
          <w:sz w:val="24"/>
          <w:szCs w:val="24"/>
        </w:rPr>
        <w:t>) Curriculum Series.</w:t>
      </w:r>
    </w:p>
    <w:p w14:paraId="36EEF916" w14:textId="77777777" w:rsidR="00402D78" w:rsidRDefault="00402D78" w:rsidP="00402D78">
      <w:pPr>
        <w:spacing w:after="0"/>
        <w:rPr>
          <w:sz w:val="24"/>
          <w:szCs w:val="24"/>
        </w:rPr>
      </w:pPr>
    </w:p>
    <w:p w14:paraId="08D68FAC" w14:textId="77777777" w:rsidR="00402D78" w:rsidRPr="00063BE2" w:rsidRDefault="005338B2" w:rsidP="00402D78">
      <w:pPr>
        <w:spacing w:after="0"/>
        <w:rPr>
          <w:b/>
          <w:bCs/>
          <w:color w:val="0000FF"/>
          <w:sz w:val="24"/>
          <w:szCs w:val="24"/>
        </w:rPr>
      </w:pPr>
      <w:hyperlink r:id="rId6" w:history="1">
        <w:r w:rsidR="00402D78" w:rsidRPr="00063BE2">
          <w:rPr>
            <w:rStyle w:val="Hyperlink"/>
            <w:b/>
            <w:bCs/>
            <w:color w:val="0000FF"/>
            <w:sz w:val="24"/>
            <w:szCs w:val="24"/>
          </w:rPr>
          <w:t>Science Symposium</w:t>
        </w:r>
      </w:hyperlink>
    </w:p>
    <w:p w14:paraId="2A526252" w14:textId="77777777" w:rsidR="00402D78" w:rsidRPr="00063BE2" w:rsidRDefault="00402D78" w:rsidP="00402D78">
      <w:pPr>
        <w:spacing w:after="0"/>
        <w:rPr>
          <w:sz w:val="24"/>
          <w:szCs w:val="24"/>
        </w:rPr>
      </w:pPr>
      <w:r w:rsidRPr="00063BE2">
        <w:rPr>
          <w:sz w:val="24"/>
          <w:szCs w:val="24"/>
        </w:rPr>
        <w:t xml:space="preserve">Through guided, collaborative teaching, the Science Symposium gets students engaged in authentic, real-world science projects.  VINS Educators work with each class to identify a problem in their community, facilitate scientific research and data collection, provide guidance on developing solutions, and </w:t>
      </w:r>
      <w:proofErr w:type="gramStart"/>
      <w:r w:rsidRPr="00063BE2">
        <w:rPr>
          <w:sz w:val="24"/>
          <w:szCs w:val="24"/>
        </w:rPr>
        <w:t>prepares</w:t>
      </w:r>
      <w:proofErr w:type="gramEnd"/>
      <w:r w:rsidRPr="00063BE2">
        <w:rPr>
          <w:sz w:val="24"/>
          <w:szCs w:val="24"/>
        </w:rPr>
        <w:t xml:space="preserve"> them for presenting their findings at the Science Symposium event.</w:t>
      </w:r>
    </w:p>
    <w:p w14:paraId="3592BD67" w14:textId="77777777" w:rsidR="00402D78" w:rsidRPr="00063BE2" w:rsidRDefault="00402D78" w:rsidP="00402D78">
      <w:pPr>
        <w:spacing w:after="0"/>
        <w:rPr>
          <w:sz w:val="24"/>
          <w:szCs w:val="24"/>
        </w:rPr>
      </w:pPr>
    </w:p>
    <w:p w14:paraId="5978FB8C" w14:textId="77777777" w:rsidR="00402D78" w:rsidRPr="00063BE2" w:rsidRDefault="005338B2" w:rsidP="00402D78">
      <w:pPr>
        <w:spacing w:after="0"/>
        <w:rPr>
          <w:b/>
          <w:bCs/>
          <w:color w:val="0000FF"/>
          <w:sz w:val="24"/>
          <w:szCs w:val="24"/>
        </w:rPr>
      </w:pPr>
      <w:hyperlink r:id="rId7" w:anchor="start=6" w:history="1">
        <w:r w:rsidR="00402D78" w:rsidRPr="00063BE2">
          <w:rPr>
            <w:rStyle w:val="Hyperlink"/>
            <w:b/>
            <w:bCs/>
            <w:color w:val="0000FF"/>
            <w:sz w:val="24"/>
            <w:szCs w:val="24"/>
          </w:rPr>
          <w:t>Farm to Table</w:t>
        </w:r>
      </w:hyperlink>
    </w:p>
    <w:p w14:paraId="11570F9D" w14:textId="77777777" w:rsidR="00402D78" w:rsidRPr="00063BE2" w:rsidRDefault="00402D78" w:rsidP="00402D78">
      <w:pPr>
        <w:spacing w:after="0"/>
        <w:rPr>
          <w:sz w:val="24"/>
          <w:szCs w:val="24"/>
        </w:rPr>
      </w:pPr>
      <w:r w:rsidRPr="00063BE2">
        <w:rPr>
          <w:sz w:val="24"/>
          <w:szCs w:val="24"/>
        </w:rPr>
        <w:t>Students explore the global food system by investigating the cycle of matter, learning the human impact on this cycle, and analyzing their own food choices through scientific reasoning, discussion, and debate. Includes a matrix of National Science Education Standards. Part 3 of the Linking Food and the Environment (</w:t>
      </w:r>
      <w:proofErr w:type="spellStart"/>
      <w:r w:rsidRPr="00063BE2">
        <w:rPr>
          <w:sz w:val="24"/>
          <w:szCs w:val="24"/>
        </w:rPr>
        <w:t>LiFE</w:t>
      </w:r>
      <w:proofErr w:type="spellEnd"/>
      <w:r w:rsidRPr="00063BE2">
        <w:rPr>
          <w:sz w:val="24"/>
          <w:szCs w:val="24"/>
        </w:rPr>
        <w:t>) Curriculum Series.</w:t>
      </w:r>
    </w:p>
    <w:p w14:paraId="53FEC723" w14:textId="77777777" w:rsidR="00402D78" w:rsidRDefault="00402D78" w:rsidP="00402D78">
      <w:pPr>
        <w:spacing w:after="0"/>
        <w:rPr>
          <w:sz w:val="24"/>
          <w:szCs w:val="24"/>
        </w:rPr>
      </w:pPr>
    </w:p>
    <w:p w14:paraId="702A6008" w14:textId="77777777" w:rsidR="00402D78" w:rsidRPr="002133C3" w:rsidRDefault="005338B2" w:rsidP="00402D78">
      <w:pPr>
        <w:spacing w:after="0"/>
        <w:rPr>
          <w:b/>
          <w:bCs/>
          <w:sz w:val="24"/>
          <w:szCs w:val="24"/>
        </w:rPr>
      </w:pPr>
      <w:hyperlink r:id="rId8" w:anchor="start=1" w:history="1">
        <w:r w:rsidR="00402D78" w:rsidRPr="002133C3">
          <w:rPr>
            <w:rStyle w:val="Hyperlink"/>
            <w:b/>
            <w:bCs/>
            <w:color w:val="0000FF"/>
            <w:sz w:val="24"/>
            <w:szCs w:val="24"/>
          </w:rPr>
          <w:t>Math in the Garden</w:t>
        </w:r>
      </w:hyperlink>
      <w:r w:rsidR="00402D78" w:rsidRPr="002133C3">
        <w:rPr>
          <w:b/>
          <w:bCs/>
          <w:sz w:val="24"/>
          <w:szCs w:val="24"/>
        </w:rPr>
        <w:t xml:space="preserve"> </w:t>
      </w:r>
    </w:p>
    <w:p w14:paraId="24B2F657" w14:textId="77777777" w:rsidR="00402D78" w:rsidRPr="002133C3" w:rsidRDefault="00402D78" w:rsidP="00402D78">
      <w:pPr>
        <w:spacing w:after="0"/>
        <w:rPr>
          <w:sz w:val="24"/>
          <w:szCs w:val="24"/>
        </w:rPr>
      </w:pPr>
      <w:r w:rsidRPr="002133C3">
        <w:rPr>
          <w:sz w:val="24"/>
          <w:szCs w:val="24"/>
        </w:rPr>
        <w:t>This engaging curriculum uses a mathematical lens to take children on an education-filled journey in the garden. Dozens of trial-tested, standards-based activities hone math skills while promoting inquiry, language arts and nutrition.</w:t>
      </w:r>
    </w:p>
    <w:p w14:paraId="00A11C95" w14:textId="77777777" w:rsidR="00402D78" w:rsidRPr="00063BE2" w:rsidRDefault="00402D78" w:rsidP="00402D78">
      <w:pPr>
        <w:spacing w:after="0"/>
        <w:rPr>
          <w:sz w:val="24"/>
          <w:szCs w:val="24"/>
        </w:rPr>
      </w:pPr>
    </w:p>
    <w:p w14:paraId="05A55A0F" w14:textId="77777777" w:rsidR="005338B2" w:rsidRPr="008209C9" w:rsidRDefault="005338B2" w:rsidP="005338B2">
      <w:pPr>
        <w:spacing w:after="0"/>
        <w:rPr>
          <w:b/>
          <w:bCs/>
          <w:color w:val="0000FF"/>
          <w:sz w:val="24"/>
          <w:szCs w:val="24"/>
        </w:rPr>
      </w:pPr>
      <w:hyperlink r:id="rId9" w:history="1">
        <w:r w:rsidRPr="008209C9">
          <w:rPr>
            <w:rStyle w:val="Hyperlink"/>
            <w:b/>
            <w:bCs/>
            <w:color w:val="0000FF"/>
            <w:sz w:val="24"/>
            <w:szCs w:val="24"/>
          </w:rPr>
          <w:t>Harvest of the Month</w:t>
        </w:r>
      </w:hyperlink>
    </w:p>
    <w:p w14:paraId="337CA500" w14:textId="77777777" w:rsidR="005338B2" w:rsidRPr="008209C9" w:rsidRDefault="005338B2" w:rsidP="005338B2">
      <w:pPr>
        <w:spacing w:after="0"/>
        <w:rPr>
          <w:sz w:val="24"/>
          <w:szCs w:val="24"/>
        </w:rPr>
      </w:pPr>
      <w:r w:rsidRPr="008209C9">
        <w:rPr>
          <w:sz w:val="24"/>
          <w:szCs w:val="24"/>
        </w:rPr>
        <w:t>Use Vermont Harvest of the Month (VTHOM) original artwork, signage, recipes, and lessons to explore, promote, and cook through the Vermont seasons. With a featured harvest each month, VTHOM can provide inspiration so that every member of your school community – teachers, staff, students, and parents – can play an important role in cultivating healthy, local, and seasonal eating habits all while supporting Vermont farmers and the community.</w:t>
      </w:r>
      <w:r w:rsidRPr="008209C9">
        <w:rPr>
          <w:rFonts w:ascii="Arial" w:hAnsi="Arial" w:cs="Arial"/>
          <w:sz w:val="24"/>
          <w:szCs w:val="24"/>
        </w:rPr>
        <w:t>​</w:t>
      </w:r>
    </w:p>
    <w:p w14:paraId="338F8535" w14:textId="77777777" w:rsidR="009627E1" w:rsidRDefault="009627E1"/>
    <w:sectPr w:rsidR="009627E1" w:rsidSect="00402D78">
      <w:pgSz w:w="12240" w:h="15840" w:code="1"/>
      <w:pgMar w:top="900" w:right="1440" w:bottom="720" w:left="144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78"/>
    <w:rsid w:val="002E041E"/>
    <w:rsid w:val="002E3FB4"/>
    <w:rsid w:val="00402D78"/>
    <w:rsid w:val="005338B2"/>
    <w:rsid w:val="00676123"/>
    <w:rsid w:val="0093557E"/>
    <w:rsid w:val="009627E1"/>
    <w:rsid w:val="00F5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F0E9"/>
  <w15:chartTrackingRefBased/>
  <w15:docId w15:val="{2785DE43-2620-4937-A332-AC90F811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D78"/>
  </w:style>
  <w:style w:type="paragraph" w:styleId="Heading1">
    <w:name w:val="heading 1"/>
    <w:basedOn w:val="Normal"/>
    <w:next w:val="Normal"/>
    <w:link w:val="Heading1Char"/>
    <w:uiPriority w:val="9"/>
    <w:qFormat/>
    <w:rsid w:val="00402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D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D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D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D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D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D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D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D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D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D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D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D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D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D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D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D78"/>
    <w:rPr>
      <w:rFonts w:eastAsiaTheme="majorEastAsia" w:cstheme="majorBidi"/>
      <w:color w:val="272727" w:themeColor="text1" w:themeTint="D8"/>
    </w:rPr>
  </w:style>
  <w:style w:type="paragraph" w:styleId="Title">
    <w:name w:val="Title"/>
    <w:basedOn w:val="Normal"/>
    <w:next w:val="Normal"/>
    <w:link w:val="TitleChar"/>
    <w:uiPriority w:val="10"/>
    <w:qFormat/>
    <w:rsid w:val="00402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D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D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D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D78"/>
    <w:pPr>
      <w:spacing w:before="160"/>
      <w:jc w:val="center"/>
    </w:pPr>
    <w:rPr>
      <w:i/>
      <w:iCs/>
      <w:color w:val="404040" w:themeColor="text1" w:themeTint="BF"/>
    </w:rPr>
  </w:style>
  <w:style w:type="character" w:customStyle="1" w:styleId="QuoteChar">
    <w:name w:val="Quote Char"/>
    <w:basedOn w:val="DefaultParagraphFont"/>
    <w:link w:val="Quote"/>
    <w:uiPriority w:val="29"/>
    <w:rsid w:val="00402D78"/>
    <w:rPr>
      <w:i/>
      <w:iCs/>
      <w:color w:val="404040" w:themeColor="text1" w:themeTint="BF"/>
    </w:rPr>
  </w:style>
  <w:style w:type="paragraph" w:styleId="ListParagraph">
    <w:name w:val="List Paragraph"/>
    <w:basedOn w:val="Normal"/>
    <w:uiPriority w:val="34"/>
    <w:qFormat/>
    <w:rsid w:val="00402D78"/>
    <w:pPr>
      <w:ind w:left="720"/>
      <w:contextualSpacing/>
    </w:pPr>
  </w:style>
  <w:style w:type="character" w:styleId="IntenseEmphasis">
    <w:name w:val="Intense Emphasis"/>
    <w:basedOn w:val="DefaultParagraphFont"/>
    <w:uiPriority w:val="21"/>
    <w:qFormat/>
    <w:rsid w:val="00402D78"/>
    <w:rPr>
      <w:i/>
      <w:iCs/>
      <w:color w:val="0F4761" w:themeColor="accent1" w:themeShade="BF"/>
    </w:rPr>
  </w:style>
  <w:style w:type="paragraph" w:styleId="IntenseQuote">
    <w:name w:val="Intense Quote"/>
    <w:basedOn w:val="Normal"/>
    <w:next w:val="Normal"/>
    <w:link w:val="IntenseQuoteChar"/>
    <w:uiPriority w:val="30"/>
    <w:qFormat/>
    <w:rsid w:val="00402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D78"/>
    <w:rPr>
      <w:i/>
      <w:iCs/>
      <w:color w:val="0F4761" w:themeColor="accent1" w:themeShade="BF"/>
    </w:rPr>
  </w:style>
  <w:style w:type="character" w:styleId="IntenseReference">
    <w:name w:val="Intense Reference"/>
    <w:basedOn w:val="DefaultParagraphFont"/>
    <w:uiPriority w:val="32"/>
    <w:qFormat/>
    <w:rsid w:val="00402D78"/>
    <w:rPr>
      <w:b/>
      <w:bCs/>
      <w:smallCaps/>
      <w:color w:val="0F4761" w:themeColor="accent1" w:themeShade="BF"/>
      <w:spacing w:val="5"/>
    </w:rPr>
  </w:style>
  <w:style w:type="character" w:styleId="Hyperlink">
    <w:name w:val="Hyperlink"/>
    <w:basedOn w:val="DefaultParagraphFont"/>
    <w:uiPriority w:val="99"/>
    <w:unhideWhenUsed/>
    <w:rsid w:val="00402D7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deners.com/buy/math-in-the-garden/8593685.html" TargetMode="External"/><Relationship Id="rId3" Type="http://schemas.openxmlformats.org/officeDocument/2006/relationships/webSettings" Target="webSettings.xml"/><Relationship Id="rId7" Type="http://schemas.openxmlformats.org/officeDocument/2006/relationships/hyperlink" Target="https://www.gardeners.com/buy/farm-to-table-beyond/859367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nsweb.org/school-programs/science-symposium/" TargetMode="External"/><Relationship Id="rId11" Type="http://schemas.openxmlformats.org/officeDocument/2006/relationships/theme" Target="theme/theme1.xml"/><Relationship Id="rId5" Type="http://schemas.openxmlformats.org/officeDocument/2006/relationships/hyperlink" Target="https://www.gardeners.com/buy/growing-food/8593681.html" TargetMode="External"/><Relationship Id="rId10" Type="http://schemas.openxmlformats.org/officeDocument/2006/relationships/fontTable" Target="fontTable.xml"/><Relationship Id="rId4" Type="http://schemas.openxmlformats.org/officeDocument/2006/relationships/hyperlink" Target="https://www.gardeners.com/buy/choice-control-change/8593677.html" TargetMode="External"/><Relationship Id="rId9" Type="http://schemas.openxmlformats.org/officeDocument/2006/relationships/hyperlink" Target="https://www.vermontharvestofthemonth.org/educ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Dextraze</dc:creator>
  <cp:keywords/>
  <dc:description/>
  <cp:lastModifiedBy>Dawn Dextraze</cp:lastModifiedBy>
  <cp:revision>2</cp:revision>
  <dcterms:created xsi:type="dcterms:W3CDTF">2024-04-23T19:04:00Z</dcterms:created>
  <dcterms:modified xsi:type="dcterms:W3CDTF">2024-04-23T19:16:00Z</dcterms:modified>
</cp:coreProperties>
</file>